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39" w:lineRule="auto"/>
        <w:rPr>
          <w:rFonts w:ascii="Arial"/>
          <w:sz w:val="21"/>
        </w:rPr>
      </w:pPr>
    </w:p>
    <w:p>
      <w:pPr>
        <w:pStyle w:val="2"/>
        <w:spacing w:before="65" w:line="229" w:lineRule="auto"/>
        <w:ind w:left="3860"/>
        <w:rPr>
          <w:sz w:val="24"/>
          <w:szCs w:val="24"/>
        </w:rPr>
      </w:pPr>
      <w:r>
        <w:rPr>
          <w:b/>
          <w:bCs/>
          <w:spacing w:val="4"/>
          <w:sz w:val="24"/>
          <w:szCs w:val="24"/>
        </w:rPr>
        <w:t>投标评分细则（</w:t>
      </w:r>
      <w:r>
        <w:rPr>
          <w:rFonts w:ascii="Calibri" w:hAnsi="Calibri" w:eastAsia="Calibri" w:cs="Calibri"/>
          <w:b/>
          <w:bCs/>
          <w:spacing w:val="4"/>
          <w:sz w:val="24"/>
          <w:szCs w:val="24"/>
        </w:rPr>
        <w:t>100</w:t>
      </w:r>
      <w:r>
        <w:rPr>
          <w:rFonts w:ascii="Calibri" w:hAnsi="Calibri" w:eastAsia="Calibri" w:cs="Calibri"/>
          <w:b/>
          <w:bCs/>
          <w:spacing w:val="29"/>
          <w:sz w:val="24"/>
          <w:szCs w:val="24"/>
        </w:rPr>
        <w:t xml:space="preserve"> </w:t>
      </w:r>
      <w:r>
        <w:rPr>
          <w:b/>
          <w:bCs/>
          <w:spacing w:val="4"/>
          <w:sz w:val="24"/>
          <w:szCs w:val="24"/>
        </w:rPr>
        <w:t>分）</w:t>
      </w:r>
    </w:p>
    <w:tbl>
      <w:tblPr>
        <w:tblStyle w:val="6"/>
        <w:tblW w:w="92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679"/>
        <w:gridCol w:w="59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5" w:line="218" w:lineRule="auto"/>
              <w:ind w:left="115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评分项目</w:t>
            </w:r>
          </w:p>
        </w:tc>
        <w:tc>
          <w:tcPr>
            <w:tcW w:w="1679" w:type="dxa"/>
            <w:vAlign w:val="top"/>
          </w:tcPr>
          <w:p>
            <w:pPr>
              <w:pStyle w:val="7"/>
              <w:spacing w:before="35" w:line="218" w:lineRule="auto"/>
              <w:ind w:left="11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分值区间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35" w:line="218" w:lineRule="auto"/>
              <w:ind w:left="1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评分办法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1" w:line="227" w:lineRule="auto"/>
              <w:ind w:left="11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报价得分</w:t>
            </w:r>
          </w:p>
        </w:tc>
        <w:tc>
          <w:tcPr>
            <w:tcW w:w="1679" w:type="dxa"/>
            <w:vAlign w:val="top"/>
          </w:tcPr>
          <w:p>
            <w:pPr>
              <w:spacing w:before="62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0~30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32" w:line="234" w:lineRule="auto"/>
              <w:ind w:left="106" w:right="111" w:firstLine="6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价格评分满分为 30 分，以实质性满足招标文件商务和技术要求的最低投标报价为基准价，投标报价得分=基准价/投标报价*30%*100。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2" w:line="228" w:lineRule="auto"/>
              <w:ind w:left="12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实样</w:t>
            </w:r>
          </w:p>
        </w:tc>
        <w:tc>
          <w:tcPr>
            <w:tcW w:w="1679" w:type="dxa"/>
            <w:vAlign w:val="top"/>
          </w:tcPr>
          <w:p>
            <w:pPr>
              <w:spacing w:before="65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0~15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30" w:line="246" w:lineRule="auto"/>
              <w:ind w:left="112" w:right="109" w:firstLine="5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一、评审内容：外观、尺寸、制造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工艺。二、评审标准：投标实样的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外观是否优美、尺寸</w:t>
            </w:r>
            <w:bookmarkStart w:id="0" w:name="_GoBack"/>
            <w:bookmarkEnd w:id="0"/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是否精确、材</w:t>
            </w: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质制作工艺是否一流。每一小项各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0-5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b/>
                <w:bCs/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color w:val="000000" w:themeColor="text1"/>
                <w:spacing w:val="-5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6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本项最高总得分为</w:t>
            </w:r>
            <w:r>
              <w:rPr>
                <w:color w:val="000000" w:themeColor="text1"/>
                <w:spacing w:val="7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1" w:line="228" w:lineRule="auto"/>
              <w:ind w:left="12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实样材质</w:t>
            </w:r>
          </w:p>
        </w:tc>
        <w:tc>
          <w:tcPr>
            <w:tcW w:w="1679" w:type="dxa"/>
            <w:vAlign w:val="top"/>
          </w:tcPr>
          <w:p>
            <w:pPr>
              <w:spacing w:before="65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3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0~20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28" w:line="246" w:lineRule="auto"/>
              <w:ind w:left="113" w:right="109" w:firstLine="4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一、评审内容：主材、辅材、五金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件、油漆。二、评审标准：投标货</w:t>
            </w: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物是否使用上乘主材及辅材、是否</w:t>
            </w: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使用知名五金件及油漆。每一小项</w:t>
            </w: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0-5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2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分，本项最高总得分为</w:t>
            </w: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3" w:line="228" w:lineRule="auto"/>
              <w:ind w:left="117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生产组织</w:t>
            </w:r>
          </w:p>
        </w:tc>
        <w:tc>
          <w:tcPr>
            <w:tcW w:w="1679" w:type="dxa"/>
            <w:vAlign w:val="top"/>
          </w:tcPr>
          <w:p>
            <w:pPr>
              <w:spacing w:before="66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0~4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34" w:line="246" w:lineRule="auto"/>
              <w:ind w:left="113" w:right="38" w:firstLine="4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一、评审内容：生产工艺、生产设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备配置、生产组织、质量控制。二、</w:t>
            </w:r>
            <w:r>
              <w:rPr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>评审标准：</w:t>
            </w:r>
            <w:r>
              <w:rPr>
                <w:color w:val="000000" w:themeColor="text1"/>
                <w:spacing w:val="-4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>生产工艺是否先进精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9"/>
                <w14:textFill>
                  <w14:solidFill>
                    <w14:schemeClr w14:val="tx1"/>
                  </w14:solidFill>
                </w14:textFill>
              </w:rPr>
              <w:t>细、生产设备配置是否先进齐全、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生产组织是否科学详细、质量控制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>体系是否完备</w:t>
            </w:r>
            <w:r>
              <w:rPr>
                <w:color w:val="000000" w:themeColor="text1"/>
                <w:spacing w:val="-47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>。每一小项各</w:t>
            </w:r>
            <w:r>
              <w:rPr>
                <w:color w:val="000000" w:themeColor="text1"/>
                <w:spacing w:val="4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>0-1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分，本项最高总得分为</w:t>
            </w: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8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5" w:line="229" w:lineRule="auto"/>
              <w:ind w:left="12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安装组织</w:t>
            </w:r>
          </w:p>
        </w:tc>
        <w:tc>
          <w:tcPr>
            <w:tcW w:w="1679" w:type="dxa"/>
            <w:vAlign w:val="top"/>
          </w:tcPr>
          <w:p>
            <w:pPr>
              <w:spacing w:before="66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0~5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32" w:line="247" w:lineRule="auto"/>
              <w:ind w:left="115" w:right="86" w:firstLine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一、评审内容：物流保障、安装工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艺及工序、安装进度、安全措施、</w:t>
            </w:r>
            <w:r>
              <w:rPr>
                <w:color w:val="000000" w:themeColor="text1"/>
                <w:spacing w:val="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人员配备。二、评审标准：物流保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障是否安全高效、安装工艺及工序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>是否科学合理；</w:t>
            </w:r>
            <w:r>
              <w:rPr>
                <w:color w:val="000000" w:themeColor="text1"/>
                <w:spacing w:val="-47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>安装进度是否合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理；安全措施是否得当；人员配备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是否充足。每一小项各</w:t>
            </w:r>
            <w:r>
              <w:rPr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0-1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7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分，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本项最高得分</w:t>
            </w: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1569" w:type="dxa"/>
            <w:vAlign w:val="top"/>
          </w:tcPr>
          <w:p>
            <w:pPr>
              <w:pStyle w:val="7"/>
              <w:spacing w:before="36" w:line="228" w:lineRule="auto"/>
              <w:ind w:left="115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售后服务</w:t>
            </w:r>
          </w:p>
        </w:tc>
        <w:tc>
          <w:tcPr>
            <w:tcW w:w="1679" w:type="dxa"/>
            <w:vAlign w:val="top"/>
          </w:tcPr>
          <w:p>
            <w:pPr>
              <w:spacing w:before="67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0~5</w:t>
            </w:r>
          </w:p>
        </w:tc>
        <w:tc>
          <w:tcPr>
            <w:tcW w:w="5979" w:type="dxa"/>
            <w:vAlign w:val="top"/>
          </w:tcPr>
          <w:p>
            <w:pPr>
              <w:pStyle w:val="7"/>
              <w:spacing w:before="35" w:line="247" w:lineRule="auto"/>
              <w:ind w:left="114" w:right="109" w:firstLine="3"/>
              <w:jc w:val="both"/>
              <w:rPr>
                <w:rFonts w:ascii="Calibri" w:hAnsi="Calibri" w:eastAsia="Calibri" w:cs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一、评审内容：售后服务内容及响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应时间、培训计划和内容、维保服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务内容和价格、备品备件供货和价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格。二、评审标准：售后服务内容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是否完善且响应迅速；培训计划和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内容是否充实；维保服务内容和价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格是否合理；备品备件供货和价格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是否可靠和合理。每一小项各</w:t>
            </w: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0-1</w:t>
            </w:r>
          </w:p>
        </w:tc>
      </w:tr>
    </w:tbl>
    <w:p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footerReference r:id="rId5" w:type="default"/>
          <w:pgSz w:w="11906" w:h="16839"/>
          <w:pgMar w:top="1431" w:right="0" w:bottom="1157" w:left="967" w:header="0" w:footer="992" w:gutter="0"/>
          <w:cols w:space="720" w:num="1"/>
        </w:sectPr>
      </w:pPr>
    </w:p>
    <w:p>
      <w:pPr>
        <w:spacing w:line="91" w:lineRule="auto"/>
        <w:rPr>
          <w:rFonts w:ascii="Arial"/>
          <w:color w:val="000000" w:themeColor="text1"/>
          <w:sz w:val="2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23"/>
        <w:gridCol w:w="3319"/>
        <w:gridCol w:w="33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3323" w:type="dxa"/>
            <w:vAlign w:val="top"/>
          </w:tcPr>
          <w:p>
            <w:pPr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9" w:type="dxa"/>
            <w:vAlign w:val="top"/>
          </w:tcPr>
          <w:p>
            <w:pPr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4" w:type="dxa"/>
            <w:vAlign w:val="top"/>
          </w:tcPr>
          <w:p>
            <w:pPr>
              <w:pStyle w:val="7"/>
              <w:spacing w:before="36" w:line="217" w:lineRule="auto"/>
              <w:ind w:left="117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分，本项最高总得分为</w:t>
            </w: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7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3323" w:type="dxa"/>
            <w:vAlign w:val="top"/>
          </w:tcPr>
          <w:p>
            <w:pPr>
              <w:pStyle w:val="7"/>
              <w:spacing w:before="31" w:line="228" w:lineRule="auto"/>
              <w:ind w:left="118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综合能力</w:t>
            </w:r>
          </w:p>
        </w:tc>
        <w:tc>
          <w:tcPr>
            <w:tcW w:w="3319" w:type="dxa"/>
            <w:vAlign w:val="top"/>
          </w:tcPr>
          <w:p>
            <w:pPr>
              <w:spacing w:before="64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0~3</w:t>
            </w:r>
          </w:p>
        </w:tc>
        <w:tc>
          <w:tcPr>
            <w:tcW w:w="3324" w:type="dxa"/>
            <w:vAlign w:val="top"/>
          </w:tcPr>
          <w:p>
            <w:pPr>
              <w:pStyle w:val="7"/>
              <w:spacing w:before="29" w:line="246" w:lineRule="auto"/>
              <w:ind w:left="114" w:right="109" w:firstLine="3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一、评审内容：生产能力、仓储面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积、管理制度。二、评审标准：投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标人生产能力是否较强、是否具有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足够的仓储面积、管理制度是否完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善。每一小项各</w:t>
            </w:r>
            <w:r>
              <w:rPr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0-1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分，本项最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高总得分为</w:t>
            </w: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3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</w:trPr>
        <w:tc>
          <w:tcPr>
            <w:tcW w:w="3323" w:type="dxa"/>
            <w:vAlign w:val="top"/>
          </w:tcPr>
          <w:p>
            <w:pPr>
              <w:pStyle w:val="7"/>
              <w:spacing w:before="32" w:line="227" w:lineRule="auto"/>
              <w:ind w:left="116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质量检测报告</w:t>
            </w:r>
          </w:p>
        </w:tc>
        <w:tc>
          <w:tcPr>
            <w:tcW w:w="3319" w:type="dxa"/>
            <w:vAlign w:val="top"/>
          </w:tcPr>
          <w:p>
            <w:pPr>
              <w:spacing w:before="65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0~6</w:t>
            </w:r>
          </w:p>
        </w:tc>
        <w:tc>
          <w:tcPr>
            <w:tcW w:w="3324" w:type="dxa"/>
            <w:vAlign w:val="top"/>
          </w:tcPr>
          <w:p>
            <w:pPr>
              <w:pStyle w:val="7"/>
              <w:spacing w:before="291" w:line="246" w:lineRule="auto"/>
              <w:ind w:left="113" w:right="100" w:firstLine="2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18"/>
                <w14:textFill>
                  <w14:solidFill>
                    <w14:schemeClr w14:val="tx1"/>
                  </w14:solidFill>
                </w14:textFill>
              </w:rPr>
              <w:t>提供省市级及以上检验机构出具</w:t>
            </w:r>
            <w:r>
              <w:rPr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的样品全性能质检报告。报告上检</w:t>
            </w: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测货物名称、尺寸须与本次项目出</w:t>
            </w: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样样品一致，且日期在有效期内，</w:t>
            </w:r>
            <w:r>
              <w:rPr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有一项得</w:t>
            </w:r>
            <w:r>
              <w:rPr>
                <w:color w:val="000000" w:themeColor="text1"/>
                <w:spacing w:val="-37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分，最多得</w:t>
            </w:r>
            <w:r>
              <w:rPr>
                <w:color w:val="000000" w:themeColor="text1"/>
                <w:spacing w:val="-3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分。检验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报告上送检单位须为投标厂家，否</w:t>
            </w: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则不得分。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5" w:hRule="atLeast"/>
        </w:trPr>
        <w:tc>
          <w:tcPr>
            <w:tcW w:w="3323" w:type="dxa"/>
            <w:vAlign w:val="top"/>
          </w:tcPr>
          <w:p>
            <w:pPr>
              <w:pStyle w:val="7"/>
              <w:spacing w:before="34" w:line="228" w:lineRule="auto"/>
              <w:ind w:left="115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类似业绩</w:t>
            </w:r>
          </w:p>
        </w:tc>
        <w:tc>
          <w:tcPr>
            <w:tcW w:w="3319" w:type="dxa"/>
            <w:vAlign w:val="top"/>
          </w:tcPr>
          <w:p>
            <w:pPr>
              <w:spacing w:before="65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0~7</w:t>
            </w:r>
          </w:p>
        </w:tc>
        <w:tc>
          <w:tcPr>
            <w:tcW w:w="3324" w:type="dxa"/>
            <w:vAlign w:val="top"/>
          </w:tcPr>
          <w:p>
            <w:pPr>
              <w:pStyle w:val="7"/>
              <w:spacing w:before="288" w:line="249" w:lineRule="auto"/>
              <w:ind w:left="113" w:right="37" w:firstLine="4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一、评审内容：近三年（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8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-3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 xml:space="preserve">4  </w:t>
            </w:r>
            <w:r>
              <w:rPr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至今）以来类似项目业绩。</w:t>
            </w: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二、评审标准：是否属于有效的类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>似项目业绩由评委根据投标人提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供的业绩在业务内容、技术特点等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>方面与本项目的类似程度进行认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定。投标人须提供类似项目的所投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品牌合同扫描件，合同扫描件中须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体现合同的签约主体、项目名称及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内容、合同金额、服务日期等合同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要素的相关内容，否则不算有效的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类似项目业绩。有一个有效业绩得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8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分，</w:t>
            </w:r>
            <w:r>
              <w:rPr>
                <w:color w:val="000000" w:themeColor="text1"/>
                <w:spacing w:val="-57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每增加一个有效业绩加</w:t>
            </w:r>
            <w:r>
              <w:rPr>
                <w:color w:val="000000" w:themeColor="text1"/>
                <w:spacing w:val="4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b/>
                <w:bCs/>
                <w:color w:val="000000" w:themeColor="text1"/>
                <w:spacing w:val="9"/>
                <w14:textFill>
                  <w14:solidFill>
                    <w14:schemeClr w14:val="tx1"/>
                  </w14:solidFill>
                </w14:textFill>
              </w:rPr>
              <w:t>分，最高得分为</w:t>
            </w:r>
            <w:r>
              <w:rPr>
                <w:color w:val="000000" w:themeColor="text1"/>
                <w:spacing w:val="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9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0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9"/>
                <w14:textFill>
                  <w14:solidFill>
                    <w14:schemeClr w14:val="tx1"/>
                  </w14:solidFill>
                </w14:textFill>
              </w:rPr>
              <w:t>分，没有有效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的类似项目业绩的得</w:t>
            </w: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6"/>
                <w:w w:val="10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7" w:hRule="atLeast"/>
        </w:trPr>
        <w:tc>
          <w:tcPr>
            <w:tcW w:w="3323" w:type="dxa"/>
            <w:vAlign w:val="top"/>
          </w:tcPr>
          <w:p>
            <w:pPr>
              <w:pStyle w:val="7"/>
              <w:spacing w:before="35" w:line="228" w:lineRule="auto"/>
              <w:ind w:left="11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样品印象分</w:t>
            </w:r>
          </w:p>
        </w:tc>
        <w:tc>
          <w:tcPr>
            <w:tcW w:w="3319" w:type="dxa"/>
            <w:vAlign w:val="top"/>
          </w:tcPr>
          <w:p>
            <w:pPr>
              <w:spacing w:before="66" w:line="187" w:lineRule="auto"/>
              <w:ind w:left="109"/>
              <w:rPr>
                <w:rFonts w:ascii="Calibri" w:hAnsi="Calibri" w:eastAsia="Calibri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0~5</w:t>
            </w:r>
          </w:p>
        </w:tc>
        <w:tc>
          <w:tcPr>
            <w:tcW w:w="3324" w:type="dxa"/>
            <w:vAlign w:val="top"/>
          </w:tcPr>
          <w:p>
            <w:pPr>
              <w:pStyle w:val="7"/>
              <w:spacing w:before="291" w:line="238" w:lineRule="auto"/>
              <w:ind w:left="116" w:right="77" w:firstLine="1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一、样品的质量，款式是否坚固耐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用，各结构是否合理，</w:t>
            </w:r>
            <w:r>
              <w:rPr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每个（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2-3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b/>
                <w:bCs/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b/>
                <w:bCs/>
                <w:color w:val="000000" w:themeColor="text1"/>
                <w:spacing w:val="7"/>
                <w14:textFill>
                  <w14:solidFill>
                    <w14:schemeClr w14:val="tx1"/>
                  </w14:solidFill>
                </w14:textFill>
              </w:rPr>
              <w:t>），</w:t>
            </w:r>
            <w:r>
              <w:rPr>
                <w:b/>
                <w:bCs/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没有不得分，最高</w:t>
            </w: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Calibri" w:hAnsi="Calibri" w:eastAsia="Calibri" w:cs="Calibri"/>
                <w:b/>
                <w:bCs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</w:tbl>
    <w:p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sectPr>
      <w:footerReference r:id="rId6" w:type="default"/>
      <w:pgSz w:w="11906" w:h="16839"/>
      <w:pgMar w:top="1431" w:right="0" w:bottom="1157" w:left="967" w:header="0" w:footer="992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902"/>
      <w:rPr>
        <w:rFonts w:ascii="Calibri" w:hAnsi="Calibri" w:eastAsia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902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IwZmY0ZjFlMzc2NDczMmM4MmNjMGRhNDNiN2ZlOTkifQ=="/>
  </w:docVars>
  <w:rsids>
    <w:rsidRoot w:val="00000000"/>
    <w:rsid w:val="1F495C2E"/>
    <w:rsid w:val="79DF050F"/>
    <w:rsid w:val="FD1E8D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2024-07-24T22:03:00Z</dcterms:created>
  <dc:creator>Kingsoft-PDF</dc:creator>
  <cp:lastModifiedBy>Faye</cp:lastModifiedBy>
  <dcterms:modified xsi:type="dcterms:W3CDTF">2024-07-25T00:22:02Z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2024-07-24T14:03:33Z</vt:filetime>
  </property>
  <property fmtid="{D5CDD505-2E9C-101B-9397-08002B2CF9AE}" pid="4" name="UsrData">
    <vt:lpwstr>66a09934180b0e001fefca23wl</vt:lpwstr>
  </property>
  <property fmtid="{D5CDD505-2E9C-101B-9397-08002B2CF9AE}" pid="5" name="KSOProductBuildVer">
    <vt:lpwstr>2052-12.1.0.16120</vt:lpwstr>
  </property>
  <property fmtid="{D5CDD505-2E9C-101B-9397-08002B2CF9AE}" pid="6" name="ICV">
    <vt:lpwstr>3787BF1C8EA944A89F76334DDC8193DC_13</vt:lpwstr>
  </property>
</Properties>
</file>