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0" w:firstLineChars="0"/>
        <w:rPr>
          <w:rFonts w:hint="default" w:eastAsia="仿宋_GB2312"/>
          <w:lang w:val="en-US" w:eastAsia="zh-CN"/>
        </w:rPr>
      </w:pPr>
      <w:r>
        <w:rPr>
          <w:rFonts w:hint="eastAsia"/>
        </w:rPr>
        <w:t>智能制造与汽车学院机房电脑</w:t>
      </w:r>
      <w:r>
        <w:rPr>
          <w:rFonts w:hint="eastAsia"/>
          <w:lang w:val="en-US" w:eastAsia="zh-CN"/>
        </w:rPr>
        <w:t>采购项目</w:t>
      </w:r>
    </w:p>
    <w:p>
      <w:pPr>
        <w:pStyle w:val="4"/>
        <w:ind w:firstLine="0" w:firstLineChars="0"/>
      </w:pPr>
      <w:r>
        <w:rPr>
          <w:rFonts w:hint="eastAsia"/>
        </w:rPr>
        <w:t>评分标准：</w:t>
      </w:r>
      <w:bookmarkStart w:id="0" w:name="_GoBack"/>
      <w:bookmarkEnd w:id="0"/>
    </w:p>
    <w:tbl>
      <w:tblPr>
        <w:tblStyle w:val="9"/>
        <w:tblW w:w="548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1017"/>
        <w:gridCol w:w="660"/>
        <w:gridCol w:w="5966"/>
        <w:gridCol w:w="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014"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adjustRightInd w:val="0"/>
              <w:snapToGrid w:val="0"/>
              <w:spacing w:line="320" w:lineRule="exact"/>
              <w:jc w:val="center"/>
              <w:rPr>
                <w:rFonts w:ascii="宋体" w:hAnsi="宋体" w:cs="宋体"/>
                <w:b/>
                <w:sz w:val="24"/>
                <w:lang w:val="zh-CN"/>
              </w:rPr>
            </w:pPr>
            <w:r>
              <w:rPr>
                <w:rFonts w:hint="eastAsia" w:ascii="宋体" w:hAnsi="宋体" w:cs="宋体"/>
                <w:b/>
                <w:sz w:val="24"/>
                <w:lang w:val="zh-CN"/>
              </w:rPr>
              <w:t>项目</w:t>
            </w:r>
          </w:p>
        </w:tc>
        <w:tc>
          <w:tcPr>
            <w:tcW w:w="353" w:type="pct"/>
            <w:tcBorders>
              <w:top w:val="single" w:color="auto" w:sz="4" w:space="0"/>
              <w:left w:val="single" w:color="auto" w:sz="4" w:space="0"/>
              <w:bottom w:val="single" w:color="auto" w:sz="4" w:space="0"/>
              <w:right w:val="single" w:color="auto" w:sz="4" w:space="0"/>
            </w:tcBorders>
            <w:shd w:val="clear" w:color="auto" w:fill="EEECE1"/>
            <w:vAlign w:val="center"/>
          </w:tcPr>
          <w:p>
            <w:pPr>
              <w:adjustRightInd w:val="0"/>
              <w:snapToGrid w:val="0"/>
              <w:spacing w:line="320" w:lineRule="exact"/>
              <w:jc w:val="center"/>
              <w:rPr>
                <w:rFonts w:ascii="宋体" w:hAnsi="宋体" w:cs="宋体"/>
                <w:b/>
                <w:sz w:val="24"/>
                <w:lang w:val="zh-CN"/>
              </w:rPr>
            </w:pPr>
            <w:r>
              <w:rPr>
                <w:rFonts w:hint="eastAsia" w:ascii="宋体" w:hAnsi="宋体" w:cs="宋体"/>
                <w:b/>
                <w:sz w:val="24"/>
                <w:lang w:val="zh-CN"/>
              </w:rPr>
              <w:t>分值</w:t>
            </w:r>
          </w:p>
        </w:tc>
        <w:tc>
          <w:tcPr>
            <w:tcW w:w="3192" w:type="pct"/>
            <w:tcBorders>
              <w:top w:val="single" w:color="auto" w:sz="4" w:space="0"/>
              <w:left w:val="single" w:color="auto" w:sz="4" w:space="0"/>
              <w:right w:val="single" w:color="auto" w:sz="4" w:space="0"/>
            </w:tcBorders>
            <w:shd w:val="clear" w:color="auto" w:fill="EEECE1"/>
            <w:vAlign w:val="center"/>
          </w:tcPr>
          <w:p>
            <w:pPr>
              <w:adjustRightInd w:val="0"/>
              <w:snapToGrid w:val="0"/>
              <w:spacing w:line="320" w:lineRule="exact"/>
              <w:jc w:val="center"/>
              <w:rPr>
                <w:rFonts w:ascii="宋体" w:hAnsi="宋体" w:cs="宋体"/>
                <w:b/>
                <w:sz w:val="24"/>
                <w:lang w:val="zh-CN"/>
              </w:rPr>
            </w:pPr>
            <w:r>
              <w:rPr>
                <w:rFonts w:hint="eastAsia" w:ascii="宋体" w:hAnsi="宋体" w:cs="宋体"/>
                <w:b/>
                <w:sz w:val="24"/>
                <w:lang w:val="zh-CN"/>
              </w:rPr>
              <w:t>评分标准</w:t>
            </w:r>
          </w:p>
          <w:p>
            <w:pPr>
              <w:adjustRightInd w:val="0"/>
              <w:snapToGrid w:val="0"/>
              <w:spacing w:line="320" w:lineRule="exact"/>
              <w:rPr>
                <w:rFonts w:ascii="宋体" w:hAnsi="宋体" w:cs="宋体"/>
                <w:b/>
                <w:sz w:val="24"/>
                <w:lang w:val="zh-CN"/>
              </w:rPr>
            </w:pPr>
          </w:p>
        </w:tc>
        <w:tc>
          <w:tcPr>
            <w:tcW w:w="440" w:type="pct"/>
            <w:shd w:val="clear" w:color="auto" w:fill="auto"/>
          </w:tcPr>
          <w:p>
            <w:pPr>
              <w:adjustRightInd w:val="0"/>
              <w:snapToGrid w:val="0"/>
              <w:spacing w:line="320" w:lineRule="exact"/>
              <w:jc w:val="center"/>
              <w:rPr>
                <w:rFonts w:ascii="宋体" w:hAnsi="宋体" w:cs="宋体"/>
                <w:b/>
                <w:sz w:val="24"/>
                <w:lang w:val="zh-CN"/>
              </w:rPr>
            </w:pPr>
            <w:r>
              <w:rPr>
                <w:rFonts w:ascii="宋体" w:hAnsi="宋体" w:cs="宋体"/>
                <w:b/>
                <w:sz w:val="24"/>
                <w:lang w:val="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1" w:hRule="atLeast"/>
        </w:trPr>
        <w:tc>
          <w:tcPr>
            <w:tcW w:w="470"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cs="宋体"/>
                <w:b/>
                <w:sz w:val="24"/>
                <w:lang w:val="zh-CN"/>
              </w:rPr>
            </w:pPr>
            <w:r>
              <w:rPr>
                <w:rFonts w:hint="eastAsia" w:ascii="宋体" w:hAnsi="宋体" w:cs="宋体"/>
                <w:b/>
                <w:sz w:val="24"/>
                <w:lang w:val="zh-CN"/>
              </w:rPr>
              <w:t>价格30分</w:t>
            </w:r>
          </w:p>
        </w:tc>
        <w:tc>
          <w:tcPr>
            <w:tcW w:w="5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cs="宋体"/>
                <w:sz w:val="24"/>
                <w:lang w:val="zh-CN"/>
              </w:rPr>
            </w:pPr>
            <w:r>
              <w:rPr>
                <w:rFonts w:hint="eastAsia" w:ascii="宋体" w:hAnsi="宋体" w:cs="宋体"/>
                <w:sz w:val="24"/>
                <w:lang w:val="zh-CN"/>
              </w:rPr>
              <w:t>投标报价</w:t>
            </w:r>
          </w:p>
        </w:tc>
        <w:tc>
          <w:tcPr>
            <w:tcW w:w="35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cs="宋体"/>
                <w:sz w:val="24"/>
                <w:lang w:val="zh-CN"/>
              </w:rPr>
            </w:pPr>
            <w:r>
              <w:rPr>
                <w:rFonts w:hint="eastAsia" w:ascii="宋体" w:hAnsi="宋体" w:cs="宋体"/>
                <w:sz w:val="24"/>
                <w:lang w:val="zh-CN"/>
              </w:rPr>
              <w:t>30</w:t>
            </w:r>
          </w:p>
        </w:tc>
        <w:tc>
          <w:tcPr>
            <w:tcW w:w="3192" w:type="pct"/>
            <w:tcBorders>
              <w:left w:val="single" w:color="auto" w:sz="4" w:space="0"/>
              <w:bottom w:val="single" w:color="auto" w:sz="4" w:space="0"/>
              <w:right w:val="single" w:color="auto" w:sz="4" w:space="0"/>
            </w:tcBorders>
            <w:vAlign w:val="center"/>
          </w:tcPr>
          <w:p>
            <w:pPr>
              <w:adjustRightInd w:val="0"/>
              <w:snapToGrid w:val="0"/>
              <w:spacing w:line="320" w:lineRule="exact"/>
              <w:rPr>
                <w:rFonts w:ascii="宋体" w:hAnsi="宋体" w:cs="宋体"/>
                <w:sz w:val="24"/>
                <w:lang w:val="zh-CN"/>
              </w:rPr>
            </w:pPr>
            <w:r>
              <w:rPr>
                <w:rFonts w:hint="eastAsia" w:ascii="宋体" w:hAnsi="宋体" w:cs="宋体"/>
                <w:sz w:val="24"/>
                <w:lang w:val="zh-CN"/>
              </w:rPr>
              <w:t>该项统一采用低价优先法，即满足招标文件要求且投标价格最低的投标；报价为评标基准价，其价格满分为30分。其他投标供应商的价格分统一按照下列公式计算：投标报价得分＝（评标基准价/投标报价）×30％×100；</w:t>
            </w:r>
          </w:p>
        </w:tc>
        <w:tc>
          <w:tcPr>
            <w:tcW w:w="440" w:type="pct"/>
            <w:shd w:val="clear" w:color="auto" w:fill="auto"/>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2" w:hRule="atLeast"/>
        </w:trPr>
        <w:tc>
          <w:tcPr>
            <w:tcW w:w="470" w:type="pct"/>
            <w:vMerge w:val="restart"/>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ascii="宋体" w:hAnsi="宋体" w:cs="宋体"/>
                <w:sz w:val="24"/>
                <w:lang w:val="zh-CN"/>
              </w:rPr>
            </w:pPr>
            <w:r>
              <w:rPr>
                <w:rFonts w:hint="eastAsia" w:ascii="宋体" w:hAnsi="宋体" w:cs="宋体"/>
                <w:b/>
                <w:sz w:val="24"/>
                <w:lang w:val="zh-CN"/>
              </w:rPr>
              <w:t>技术部分50分</w:t>
            </w:r>
          </w:p>
        </w:tc>
        <w:tc>
          <w:tcPr>
            <w:tcW w:w="543" w:type="pct"/>
            <w:tcBorders>
              <w:top w:val="single" w:color="auto" w:sz="4" w:space="0"/>
              <w:left w:val="single" w:color="auto" w:sz="4" w:space="0"/>
              <w:bottom w:val="single" w:color="auto" w:sz="4" w:space="0"/>
              <w:right w:val="single" w:color="auto" w:sz="4" w:space="0"/>
            </w:tcBorders>
            <w:vAlign w:val="center"/>
          </w:tcPr>
          <w:p>
            <w:pPr>
              <w:pStyle w:val="20"/>
              <w:jc w:val="center"/>
              <w:rPr>
                <w:rFonts w:ascii="宋体" w:hAnsi="宋体" w:cs="宋体"/>
                <w:kern w:val="0"/>
                <w:sz w:val="24"/>
                <w:lang w:val="zh-CN"/>
              </w:rPr>
            </w:pPr>
            <w:r>
              <w:rPr>
                <w:rFonts w:hint="eastAsia" w:ascii="宋体" w:hAnsi="宋体" w:cs="宋体"/>
                <w:kern w:val="0"/>
                <w:sz w:val="24"/>
                <w:lang w:val="zh-CN"/>
              </w:rPr>
              <w:t>硬件配置</w:t>
            </w:r>
          </w:p>
        </w:tc>
        <w:tc>
          <w:tcPr>
            <w:tcW w:w="35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cs="宋体"/>
                <w:sz w:val="24"/>
              </w:rPr>
            </w:pPr>
            <w:r>
              <w:rPr>
                <w:rFonts w:hint="eastAsia" w:ascii="宋体" w:hAnsi="宋体" w:cs="宋体"/>
                <w:sz w:val="24"/>
              </w:rPr>
              <w:t>40</w:t>
            </w:r>
          </w:p>
        </w:tc>
        <w:tc>
          <w:tcPr>
            <w:tcW w:w="319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ascii="宋体" w:hAnsi="宋体" w:cs="宋体"/>
                <w:sz w:val="24"/>
                <w:lang w:val="zh-CN"/>
              </w:rPr>
            </w:pPr>
            <w:r>
              <w:rPr>
                <w:rFonts w:hint="eastAsia" w:ascii="宋体" w:hAnsi="宋体" w:cs="宋体"/>
                <w:sz w:val="24"/>
                <w:lang w:val="zh-CN"/>
              </w:rPr>
              <w:t>1、主要对显示器尺寸5分、CPU处理器10分、内存容量5分、独立显卡等级10分、固态硬盘容量5分、电脑品牌5分这几项进行打分。</w:t>
            </w:r>
          </w:p>
          <w:p>
            <w:pPr>
              <w:adjustRightInd w:val="0"/>
              <w:snapToGrid w:val="0"/>
              <w:spacing w:line="276" w:lineRule="auto"/>
              <w:rPr>
                <w:rFonts w:ascii="宋体" w:hAnsi="宋体" w:cs="宋体"/>
                <w:sz w:val="24"/>
                <w:lang w:val="zh-CN"/>
              </w:rPr>
            </w:pPr>
            <w:r>
              <w:rPr>
                <w:rFonts w:hint="eastAsia" w:ascii="宋体" w:hAnsi="宋体" w:cs="宋体"/>
                <w:sz w:val="24"/>
                <w:lang w:val="zh-CN"/>
              </w:rPr>
              <w:t>2、根据投标人所投产品技术参数及功能响应情况进行评分：所投产品技术参数及功能完全满足或优于招标文件要求的，按综合配置最高得40分。</w:t>
            </w:r>
          </w:p>
          <w:p>
            <w:pPr>
              <w:adjustRightInd w:val="0"/>
              <w:snapToGrid w:val="0"/>
              <w:spacing w:line="276" w:lineRule="auto"/>
              <w:rPr>
                <w:rFonts w:ascii="宋体" w:hAnsi="宋体" w:cs="宋体"/>
                <w:sz w:val="24"/>
                <w:lang w:val="zh-CN"/>
              </w:rPr>
            </w:pPr>
            <w:r>
              <w:rPr>
                <w:rFonts w:hint="eastAsia" w:ascii="宋体" w:hAnsi="宋体" w:cs="宋体"/>
                <w:sz w:val="24"/>
                <w:lang w:val="zh-CN"/>
              </w:rPr>
              <w:t>3、以上5分项的按1分值递减档，10分项的按2分值递减档。</w:t>
            </w:r>
          </w:p>
        </w:tc>
        <w:tc>
          <w:tcPr>
            <w:tcW w:w="440" w:type="pct"/>
            <w:shd w:val="clear" w:color="auto" w:fill="auto"/>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9" w:hRule="atLeast"/>
        </w:trPr>
        <w:tc>
          <w:tcPr>
            <w:tcW w:w="470" w:type="pct"/>
            <w:vMerge w:val="continue"/>
            <w:tcBorders>
              <w:left w:val="single" w:color="auto" w:sz="4" w:space="0"/>
              <w:right w:val="single" w:color="auto" w:sz="4" w:space="0"/>
            </w:tcBorders>
            <w:vAlign w:val="center"/>
          </w:tcPr>
          <w:p>
            <w:pPr>
              <w:adjustRightInd w:val="0"/>
              <w:snapToGrid w:val="0"/>
              <w:spacing w:line="320" w:lineRule="exact"/>
              <w:jc w:val="center"/>
              <w:rPr>
                <w:rFonts w:ascii="宋体" w:hAnsi="宋体" w:cs="宋体"/>
                <w:b/>
                <w:sz w:val="24"/>
                <w:lang w:val="zh-CN"/>
              </w:rPr>
            </w:pPr>
          </w:p>
        </w:tc>
        <w:tc>
          <w:tcPr>
            <w:tcW w:w="543" w:type="pct"/>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ascii="宋体" w:hAnsi="宋体" w:cs="宋体"/>
                <w:sz w:val="24"/>
                <w:lang w:val="zh-CN"/>
              </w:rPr>
            </w:pPr>
            <w:r>
              <w:rPr>
                <w:rFonts w:hint="eastAsia" w:ascii="宋体" w:hAnsi="宋体" w:cs="宋体"/>
                <w:sz w:val="24"/>
                <w:lang w:val="zh-CN"/>
              </w:rPr>
              <w:t>专业软件安装</w:t>
            </w:r>
          </w:p>
          <w:p>
            <w:pPr>
              <w:adjustRightInd w:val="0"/>
              <w:snapToGrid w:val="0"/>
              <w:spacing w:line="320" w:lineRule="exact"/>
              <w:jc w:val="center"/>
              <w:rPr>
                <w:rFonts w:ascii="宋体" w:hAnsi="宋体" w:cs="宋体"/>
                <w:sz w:val="24"/>
                <w:lang w:val="zh-CN"/>
              </w:rPr>
            </w:pPr>
            <w:r>
              <w:rPr>
                <w:rFonts w:hint="eastAsia" w:ascii="宋体" w:hAnsi="宋体" w:cs="宋体"/>
                <w:sz w:val="24"/>
                <w:lang w:val="zh-CN"/>
              </w:rPr>
              <w:t>（</w:t>
            </w:r>
            <w:r>
              <w:rPr>
                <w:rFonts w:hint="eastAsia" w:ascii="宋体" w:hAnsi="宋体" w:cs="宋体"/>
                <w:sz w:val="24"/>
              </w:rPr>
              <w:t>10</w:t>
            </w:r>
            <w:r>
              <w:rPr>
                <w:rFonts w:hint="eastAsia" w:ascii="宋体" w:hAnsi="宋体" w:cs="宋体"/>
                <w:sz w:val="24"/>
                <w:lang w:val="zh-CN"/>
              </w:rPr>
              <w:t>分）</w:t>
            </w:r>
          </w:p>
        </w:tc>
        <w:tc>
          <w:tcPr>
            <w:tcW w:w="353" w:type="pct"/>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ascii="宋体" w:hAnsi="宋体" w:cs="宋体"/>
                <w:sz w:val="24"/>
              </w:rPr>
            </w:pPr>
            <w:r>
              <w:rPr>
                <w:rFonts w:hint="eastAsia" w:ascii="宋体" w:hAnsi="宋体" w:cs="宋体"/>
                <w:sz w:val="24"/>
              </w:rPr>
              <w:t>10</w:t>
            </w:r>
          </w:p>
        </w:tc>
        <w:tc>
          <w:tcPr>
            <w:tcW w:w="3192" w:type="pct"/>
            <w:tcBorders>
              <w:top w:val="single" w:color="auto" w:sz="4" w:space="0"/>
              <w:left w:val="single" w:color="auto" w:sz="4" w:space="0"/>
              <w:right w:val="single" w:color="auto" w:sz="4" w:space="0"/>
            </w:tcBorders>
            <w:vAlign w:val="center"/>
          </w:tcPr>
          <w:p>
            <w:pPr>
              <w:widowControl/>
              <w:spacing w:before="156" w:beforeLines="50" w:after="156" w:afterLines="50" w:line="276" w:lineRule="auto"/>
              <w:jc w:val="left"/>
              <w:rPr>
                <w:rFonts w:ascii="宋体" w:hAnsi="宋体" w:cs="宋体"/>
                <w:sz w:val="24"/>
              </w:rPr>
            </w:pPr>
            <w:r>
              <w:rPr>
                <w:rFonts w:hint="eastAsia" w:ascii="宋体" w:hAnsi="宋体" w:cs="宋体"/>
                <w:sz w:val="24"/>
                <w:lang w:val="zh-CN"/>
              </w:rPr>
              <w:t>1、对投标人提供的投标文件中关于预装系统软件与常规应用软件的种类数量进行综合评估。（最高5分，按每1分递减档）</w:t>
            </w:r>
          </w:p>
          <w:p>
            <w:pPr>
              <w:widowControl/>
              <w:adjustRightInd w:val="0"/>
              <w:snapToGrid w:val="0"/>
              <w:spacing w:before="156" w:beforeLines="50" w:after="156" w:afterLines="50" w:line="276" w:lineRule="auto"/>
              <w:rPr>
                <w:rFonts w:ascii="宋体" w:hAnsi="宋体" w:cs="宋体"/>
                <w:kern w:val="0"/>
                <w:sz w:val="24"/>
              </w:rPr>
            </w:pPr>
            <w:r>
              <w:rPr>
                <w:rFonts w:hint="eastAsia" w:ascii="宋体" w:hAnsi="宋体" w:cs="宋体"/>
                <w:kern w:val="0"/>
                <w:sz w:val="24"/>
              </w:rPr>
              <w:t>2、对投标人在标书中承诺，按学校教学要求安装专业软件或配合校方提供软件执行安装，并能正常使用的承诺进行打分。（最高5分，按每1分递减档）</w:t>
            </w:r>
          </w:p>
        </w:tc>
        <w:tc>
          <w:tcPr>
            <w:tcW w:w="440" w:type="pct"/>
            <w:shd w:val="clear" w:color="auto" w:fill="auto"/>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1" w:hRule="atLeast"/>
        </w:trPr>
        <w:tc>
          <w:tcPr>
            <w:tcW w:w="470" w:type="pct"/>
            <w:vMerge w:val="restart"/>
            <w:tcBorders>
              <w:left w:val="single" w:color="auto" w:sz="4" w:space="0"/>
              <w:right w:val="single" w:color="auto" w:sz="4" w:space="0"/>
            </w:tcBorders>
            <w:vAlign w:val="center"/>
          </w:tcPr>
          <w:p>
            <w:pPr>
              <w:adjustRightInd w:val="0"/>
              <w:snapToGrid w:val="0"/>
              <w:spacing w:line="320" w:lineRule="exact"/>
              <w:jc w:val="center"/>
              <w:rPr>
                <w:rFonts w:ascii="宋体" w:hAnsi="宋体" w:cs="宋体"/>
                <w:b/>
                <w:sz w:val="24"/>
                <w:lang w:val="zh-CN"/>
              </w:rPr>
            </w:pPr>
            <w:r>
              <w:rPr>
                <w:rFonts w:hint="eastAsia" w:ascii="宋体" w:hAnsi="宋体" w:cs="宋体"/>
                <w:b/>
                <w:sz w:val="24"/>
                <w:lang w:val="zh-CN"/>
              </w:rPr>
              <w:t>售后部分2</w:t>
            </w:r>
            <w:r>
              <w:rPr>
                <w:rFonts w:hint="eastAsia" w:ascii="宋体" w:hAnsi="宋体" w:cs="宋体"/>
                <w:b/>
                <w:sz w:val="24"/>
              </w:rPr>
              <w:t>0</w:t>
            </w:r>
            <w:r>
              <w:rPr>
                <w:rFonts w:hint="eastAsia" w:ascii="宋体" w:hAnsi="宋体" w:cs="宋体"/>
                <w:b/>
                <w:sz w:val="24"/>
                <w:lang w:val="zh-CN"/>
              </w:rPr>
              <w:t>分</w:t>
            </w:r>
          </w:p>
        </w:tc>
        <w:tc>
          <w:tcPr>
            <w:tcW w:w="543" w:type="pct"/>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ascii="宋体" w:hAnsi="宋体" w:cs="宋体"/>
                <w:sz w:val="24"/>
              </w:rPr>
            </w:pPr>
            <w:r>
              <w:rPr>
                <w:rFonts w:hint="eastAsia" w:ascii="宋体" w:hAnsi="宋体" w:cs="宋体"/>
                <w:sz w:val="24"/>
              </w:rPr>
              <w:t>维修质保</w:t>
            </w:r>
          </w:p>
          <w:p>
            <w:pPr>
              <w:adjustRightInd w:val="0"/>
              <w:snapToGrid w:val="0"/>
              <w:spacing w:line="320" w:lineRule="exact"/>
              <w:jc w:val="center"/>
              <w:rPr>
                <w:rFonts w:ascii="宋体" w:hAnsi="宋体" w:cs="宋体"/>
                <w:kern w:val="0"/>
                <w:sz w:val="24"/>
              </w:rPr>
            </w:pPr>
            <w:r>
              <w:rPr>
                <w:rFonts w:hint="eastAsia" w:ascii="宋体" w:hAnsi="宋体" w:cs="宋体"/>
                <w:sz w:val="24"/>
              </w:rPr>
              <w:t>（20分）</w:t>
            </w:r>
          </w:p>
        </w:tc>
        <w:tc>
          <w:tcPr>
            <w:tcW w:w="353" w:type="pct"/>
            <w:tcBorders>
              <w:top w:val="single" w:color="auto" w:sz="4" w:space="0"/>
              <w:left w:val="single" w:color="auto" w:sz="4" w:space="0"/>
              <w:right w:val="single" w:color="auto" w:sz="4" w:space="0"/>
            </w:tcBorders>
            <w:vAlign w:val="center"/>
          </w:tcPr>
          <w:p>
            <w:pPr>
              <w:adjustRightInd w:val="0"/>
              <w:snapToGrid w:val="0"/>
              <w:spacing w:line="320" w:lineRule="exact"/>
              <w:jc w:val="center"/>
              <w:rPr>
                <w:rFonts w:ascii="宋体" w:hAnsi="宋体" w:cs="宋体"/>
                <w:sz w:val="24"/>
              </w:rPr>
            </w:pPr>
            <w:r>
              <w:rPr>
                <w:rFonts w:hint="eastAsia" w:ascii="宋体" w:hAnsi="宋体" w:cs="宋体"/>
                <w:sz w:val="24"/>
              </w:rPr>
              <w:t>20</w:t>
            </w:r>
          </w:p>
        </w:tc>
        <w:tc>
          <w:tcPr>
            <w:tcW w:w="3192" w:type="pct"/>
            <w:tcBorders>
              <w:top w:val="single" w:color="auto" w:sz="4" w:space="0"/>
              <w:left w:val="single" w:color="auto" w:sz="4" w:space="0"/>
              <w:right w:val="single" w:color="auto" w:sz="4" w:space="0"/>
            </w:tcBorders>
            <w:vAlign w:val="center"/>
          </w:tcPr>
          <w:p>
            <w:pPr>
              <w:widowControl/>
              <w:adjustRightInd w:val="0"/>
              <w:snapToGrid w:val="0"/>
              <w:spacing w:before="156" w:beforeLines="50" w:after="156" w:afterLines="50" w:line="276" w:lineRule="auto"/>
              <w:rPr>
                <w:rFonts w:ascii="宋体" w:hAnsi="宋体" w:cs="宋体"/>
                <w:sz w:val="24"/>
                <w:lang w:val="zh-CN"/>
              </w:rPr>
            </w:pPr>
            <w:r>
              <w:rPr>
                <w:rFonts w:hint="eastAsia" w:ascii="宋体" w:hAnsi="宋体" w:cs="宋体"/>
                <w:sz w:val="24"/>
                <w:lang w:val="zh-CN"/>
              </w:rPr>
              <w:t>1、质保期限越长得分越高。（最高10分，按每年2分档递减）</w:t>
            </w:r>
            <w:r>
              <w:rPr>
                <w:rFonts w:ascii="宋体" w:hAnsi="宋体" w:cs="宋体"/>
                <w:sz w:val="24"/>
                <w:lang w:val="zh-CN"/>
              </w:rPr>
              <w:t xml:space="preserve"> </w:t>
            </w:r>
          </w:p>
          <w:p>
            <w:pPr>
              <w:pStyle w:val="2"/>
              <w:rPr>
                <w:rFonts w:ascii="宋体" w:hAnsi="宋体" w:eastAsia="宋体" w:cs="宋体"/>
                <w:kern w:val="0"/>
                <w:sz w:val="24"/>
                <w:szCs w:val="24"/>
                <w:lang w:val="zh-CN"/>
              </w:rPr>
            </w:pPr>
            <w:r>
              <w:rPr>
                <w:rFonts w:hint="eastAsia" w:ascii="宋体" w:hAnsi="宋体" w:eastAsia="宋体" w:cs="宋体"/>
                <w:kern w:val="0"/>
                <w:sz w:val="24"/>
                <w:szCs w:val="24"/>
                <w:lang w:val="zh-CN"/>
              </w:rPr>
              <w:t>2、质保期内，维修响应速度承诺，4分。按1分档从高到低排序。</w:t>
            </w:r>
          </w:p>
          <w:p>
            <w:pPr>
              <w:pStyle w:val="2"/>
              <w:rPr>
                <w:sz w:val="24"/>
                <w:szCs w:val="24"/>
                <w:lang w:val="zh-CN"/>
              </w:rPr>
            </w:pPr>
            <w:r>
              <w:rPr>
                <w:rFonts w:hint="eastAsia" w:ascii="宋体" w:hAnsi="宋体" w:eastAsia="宋体" w:cs="宋体"/>
                <w:kern w:val="0"/>
                <w:sz w:val="24"/>
                <w:szCs w:val="24"/>
                <w:lang w:val="zh-CN"/>
              </w:rPr>
              <w:t>3、质保期后，维修响应速度承诺，6分。按2分档从高到低排序。</w:t>
            </w:r>
          </w:p>
        </w:tc>
        <w:tc>
          <w:tcPr>
            <w:tcW w:w="440" w:type="pct"/>
            <w:shd w:val="clear" w:color="auto" w:fill="auto"/>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70" w:type="pct"/>
            <w:vMerge w:val="continue"/>
            <w:tcBorders>
              <w:left w:val="single" w:color="auto" w:sz="4" w:space="0"/>
              <w:right w:val="single" w:color="auto" w:sz="4" w:space="0"/>
            </w:tcBorders>
            <w:vAlign w:val="center"/>
          </w:tcPr>
          <w:p>
            <w:pPr>
              <w:adjustRightInd w:val="0"/>
              <w:snapToGrid w:val="0"/>
              <w:spacing w:line="320" w:lineRule="exact"/>
              <w:jc w:val="center"/>
              <w:rPr>
                <w:rFonts w:ascii="宋体" w:hAnsi="宋体" w:cs="宋体"/>
                <w:b/>
                <w:sz w:val="24"/>
              </w:rPr>
            </w:pPr>
          </w:p>
        </w:tc>
        <w:tc>
          <w:tcPr>
            <w:tcW w:w="4088" w:type="pct"/>
            <w:gridSpan w:val="3"/>
            <w:tcBorders>
              <w:left w:val="single" w:color="auto" w:sz="4" w:space="0"/>
              <w:right w:val="single" w:color="auto" w:sz="4" w:space="0"/>
            </w:tcBorders>
            <w:vAlign w:val="center"/>
          </w:tcPr>
          <w:p>
            <w:pPr>
              <w:widowControl/>
              <w:adjustRightInd w:val="0"/>
              <w:snapToGrid w:val="0"/>
              <w:spacing w:before="156" w:beforeLines="50" w:after="156" w:afterLines="50" w:line="276" w:lineRule="auto"/>
              <w:ind w:firstLine="480" w:firstLineChars="200"/>
              <w:rPr>
                <w:rFonts w:ascii="宋体" w:hAnsi="宋体" w:cs="宋体"/>
                <w:sz w:val="24"/>
                <w:lang w:val="zh-CN"/>
              </w:rPr>
            </w:pPr>
            <w:r>
              <w:rPr>
                <w:rFonts w:hint="eastAsia" w:ascii="宋体" w:hAnsi="宋体" w:cs="宋体"/>
                <w:sz w:val="24"/>
                <w:lang w:val="zh-CN"/>
              </w:rPr>
              <w:t>中标后，接采购人通知3个工作日内提供证书原件备查，如未提供，视为虚假应标处理，取消中标资格。</w:t>
            </w:r>
          </w:p>
        </w:tc>
        <w:tc>
          <w:tcPr>
            <w:tcW w:w="440" w:type="pct"/>
            <w:shd w:val="clear" w:color="auto" w:fill="auto"/>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14"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cs="宋体"/>
                <w:b/>
                <w:sz w:val="24"/>
                <w:lang w:val="zh-CN"/>
              </w:rPr>
            </w:pPr>
            <w:r>
              <w:rPr>
                <w:rFonts w:hint="eastAsia" w:ascii="宋体" w:hAnsi="宋体" w:cs="宋体"/>
                <w:b/>
                <w:sz w:val="24"/>
                <w:lang w:val="zh-CN"/>
              </w:rPr>
              <w:t>总分</w:t>
            </w:r>
          </w:p>
        </w:tc>
        <w:tc>
          <w:tcPr>
            <w:tcW w:w="35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cs="宋体"/>
                <w:b/>
                <w:sz w:val="24"/>
                <w:lang w:val="zh-CN"/>
              </w:rPr>
            </w:pPr>
            <w:r>
              <w:rPr>
                <w:rFonts w:hint="eastAsia" w:ascii="宋体" w:hAnsi="宋体" w:cs="宋体"/>
                <w:b/>
                <w:sz w:val="24"/>
                <w:lang w:val="zh-CN"/>
              </w:rPr>
              <w:t>100</w:t>
            </w:r>
          </w:p>
        </w:tc>
        <w:tc>
          <w:tcPr>
            <w:tcW w:w="319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cs="宋体"/>
                <w:sz w:val="24"/>
                <w:lang w:val="zh-CN"/>
              </w:rPr>
            </w:pPr>
            <w:r>
              <w:rPr>
                <w:rFonts w:ascii="宋体" w:hAnsi="宋体" w:cs="宋体"/>
                <w:b/>
                <w:sz w:val="24"/>
                <w:lang w:val="zh-CN"/>
              </w:rPr>
              <w:t>评分总分</w:t>
            </w:r>
          </w:p>
        </w:tc>
        <w:tc>
          <w:tcPr>
            <w:tcW w:w="440" w:type="pct"/>
            <w:shd w:val="clear" w:color="auto" w:fill="auto"/>
          </w:tcPr>
          <w:p>
            <w:pPr>
              <w:widowControl/>
              <w:jc w:val="left"/>
              <w:rPr>
                <w:sz w:val="24"/>
              </w:rPr>
            </w:pPr>
          </w:p>
        </w:tc>
      </w:tr>
    </w:tbl>
    <w:p>
      <w:pPr>
        <w:adjustRightInd w:val="0"/>
        <w:snapToGrid w:val="0"/>
        <w:spacing w:line="320" w:lineRule="exact"/>
        <w:jc w:val="left"/>
        <w:rPr>
          <w:rFonts w:ascii="宋体" w:hAnsi="宋体" w:cs="宋体"/>
          <w:b/>
          <w:sz w:val="24"/>
          <w:lang w:val="zh-CN"/>
        </w:rPr>
      </w:pPr>
      <w:r>
        <w:rPr>
          <w:rFonts w:ascii="宋体" w:hAnsi="宋体" w:cs="宋体"/>
          <w:b/>
          <w:sz w:val="24"/>
          <w:lang w:val="zh-CN"/>
        </w:rPr>
        <w:t>评分人签字：</w:t>
      </w:r>
      <w:r>
        <w:rPr>
          <w:rFonts w:hint="eastAsia" w:ascii="宋体" w:hAnsi="宋体" w:cs="宋体"/>
          <w:b/>
          <w:sz w:val="24"/>
          <w:lang w:val="zh-CN"/>
        </w:rPr>
        <w:t xml:space="preserve">                                        日期：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Plotter">
    <w:altName w:val="Segoe Print"/>
    <w:panose1 w:val="00000000000000000000"/>
    <w:charset w:val="00"/>
    <w:family w:val="moder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wZmY0ZjFlMzc2NDczMmM4MmNjMGRhNDNiN2ZlOTkifQ=="/>
  </w:docVars>
  <w:rsids>
    <w:rsidRoot w:val="004C00F3"/>
    <w:rsid w:val="00005C18"/>
    <w:rsid w:val="00051CE8"/>
    <w:rsid w:val="00062A9A"/>
    <w:rsid w:val="000840A5"/>
    <w:rsid w:val="000B3A12"/>
    <w:rsid w:val="00130B42"/>
    <w:rsid w:val="002C4C28"/>
    <w:rsid w:val="00357601"/>
    <w:rsid w:val="0044115E"/>
    <w:rsid w:val="00466825"/>
    <w:rsid w:val="00467463"/>
    <w:rsid w:val="004C00F3"/>
    <w:rsid w:val="004E6D06"/>
    <w:rsid w:val="00554836"/>
    <w:rsid w:val="00571215"/>
    <w:rsid w:val="005A108E"/>
    <w:rsid w:val="005C36E1"/>
    <w:rsid w:val="00644467"/>
    <w:rsid w:val="007A0BF7"/>
    <w:rsid w:val="007E6528"/>
    <w:rsid w:val="008C7224"/>
    <w:rsid w:val="00924B60"/>
    <w:rsid w:val="00937E8D"/>
    <w:rsid w:val="009428C8"/>
    <w:rsid w:val="00A46A8E"/>
    <w:rsid w:val="00B00485"/>
    <w:rsid w:val="00B36DD3"/>
    <w:rsid w:val="00B6523F"/>
    <w:rsid w:val="00C142A4"/>
    <w:rsid w:val="00C16625"/>
    <w:rsid w:val="00C341B7"/>
    <w:rsid w:val="00C816A0"/>
    <w:rsid w:val="00D734BE"/>
    <w:rsid w:val="00EC39D6"/>
    <w:rsid w:val="00F47AEC"/>
    <w:rsid w:val="00F9000D"/>
    <w:rsid w:val="15DB28AD"/>
    <w:rsid w:val="1D9C6F52"/>
    <w:rsid w:val="2399557F"/>
    <w:rsid w:val="31E623A8"/>
    <w:rsid w:val="3FFFAAD3"/>
    <w:rsid w:val="46137671"/>
    <w:rsid w:val="4C750C5A"/>
    <w:rsid w:val="529637BA"/>
    <w:rsid w:val="53DF6B3B"/>
    <w:rsid w:val="550E05F9"/>
    <w:rsid w:val="5FEF8789"/>
    <w:rsid w:val="6F2F6381"/>
    <w:rsid w:val="6FF55F1D"/>
    <w:rsid w:val="71931651"/>
    <w:rsid w:val="75BDF55B"/>
    <w:rsid w:val="76BD00E7"/>
    <w:rsid w:val="7977649B"/>
    <w:rsid w:val="7BD15445"/>
    <w:rsid w:val="8FB6ED6D"/>
    <w:rsid w:val="97FCF32F"/>
    <w:rsid w:val="BB678A16"/>
    <w:rsid w:val="BF7BBA8D"/>
    <w:rsid w:val="D3FDDADF"/>
    <w:rsid w:val="EFF7851F"/>
    <w:rsid w:val="EFFE4300"/>
    <w:rsid w:val="FDEE8373"/>
    <w:rsid w:val="FEE952EB"/>
    <w:rsid w:val="FFD54E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next w:val="1"/>
    <w:qFormat/>
    <w:uiPriority w:val="0"/>
    <w:pPr>
      <w:keepNext/>
      <w:keepLines/>
      <w:widowControl w:val="0"/>
      <w:spacing w:before="260" w:after="260" w:line="415" w:lineRule="auto"/>
      <w:jc w:val="both"/>
      <w:outlineLvl w:val="1"/>
    </w:pPr>
    <w:rPr>
      <w:rFonts w:ascii="Arial" w:hAnsi="Arial" w:eastAsia="黑体" w:cs="Times New Roman"/>
      <w:b/>
      <w:kern w:val="2"/>
      <w:sz w:val="32"/>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rPr>
      <w:rFonts w:ascii="Plotter" w:hAnsi="Plotter" w:eastAsia="仿宋_GB2312"/>
      <w:sz w:val="18"/>
      <w:szCs w:val="20"/>
    </w:rPr>
  </w:style>
  <w:style w:type="paragraph" w:styleId="4">
    <w:name w:val="Body Text Indent"/>
    <w:basedOn w:val="1"/>
    <w:next w:val="5"/>
    <w:qFormat/>
    <w:uiPriority w:val="0"/>
    <w:pPr>
      <w:spacing w:line="360" w:lineRule="auto"/>
      <w:ind w:firstLine="600" w:firstLineChars="200"/>
    </w:pPr>
    <w:rPr>
      <w:rFonts w:ascii="仿宋_GB2312" w:hAnsi="宋体" w:eastAsia="仿宋_GB2312"/>
      <w:sz w:val="30"/>
    </w:rPr>
  </w:style>
  <w:style w:type="paragraph" w:styleId="5">
    <w:name w:val="Body Text First Indent 2"/>
    <w:basedOn w:val="4"/>
    <w:autoRedefine/>
    <w:qFormat/>
    <w:uiPriority w:val="0"/>
    <w:pPr>
      <w:widowControl/>
      <w:spacing w:after="120" w:line="276" w:lineRule="auto"/>
      <w:ind w:left="420" w:leftChars="200" w:firstLine="420"/>
      <w:jc w:val="left"/>
    </w:pPr>
    <w:rPr>
      <w:rFonts w:ascii="Calibri" w:hAnsi="Calibri"/>
      <w:sz w:val="21"/>
    </w:rPr>
  </w:style>
  <w:style w:type="paragraph" w:styleId="6">
    <w:name w:val="footer"/>
    <w:basedOn w:val="1"/>
    <w:link w:val="13"/>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Normal (Web)"/>
    <w:basedOn w:val="1"/>
    <w:autoRedefine/>
    <w:semiHidden/>
    <w:unhideWhenUsed/>
    <w:qFormat/>
    <w:uiPriority w:val="99"/>
    <w:pPr>
      <w:spacing w:beforeAutospacing="1" w:afterAutospacing="1"/>
      <w:jc w:val="left"/>
    </w:pPr>
    <w:rPr>
      <w:kern w:val="0"/>
      <w:sz w:val="24"/>
    </w:rPr>
  </w:style>
  <w:style w:type="table" w:styleId="10">
    <w:name w:val="Table Grid"/>
    <w:basedOn w:val="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11"/>
    <w:link w:val="7"/>
    <w:autoRedefine/>
    <w:qFormat/>
    <w:uiPriority w:val="99"/>
    <w:rPr>
      <w:sz w:val="18"/>
      <w:szCs w:val="18"/>
    </w:rPr>
  </w:style>
  <w:style w:type="character" w:customStyle="1" w:styleId="13">
    <w:name w:val="页脚 Char"/>
    <w:basedOn w:val="11"/>
    <w:link w:val="6"/>
    <w:autoRedefine/>
    <w:qFormat/>
    <w:uiPriority w:val="99"/>
    <w:rPr>
      <w:sz w:val="18"/>
      <w:szCs w:val="18"/>
    </w:rPr>
  </w:style>
  <w:style w:type="character" w:customStyle="1" w:styleId="14">
    <w:name w:val="font11"/>
    <w:basedOn w:val="11"/>
    <w:qFormat/>
    <w:uiPriority w:val="0"/>
    <w:rPr>
      <w:rFonts w:hint="eastAsia" w:ascii="宋体" w:hAnsi="宋体" w:eastAsia="宋体" w:cs="宋体"/>
      <w:b/>
      <w:bCs/>
      <w:color w:val="000000"/>
      <w:sz w:val="28"/>
      <w:szCs w:val="28"/>
      <w:u w:val="none"/>
    </w:rPr>
  </w:style>
  <w:style w:type="character" w:customStyle="1" w:styleId="15">
    <w:name w:val="font01"/>
    <w:basedOn w:val="11"/>
    <w:autoRedefine/>
    <w:qFormat/>
    <w:uiPriority w:val="0"/>
    <w:rPr>
      <w:rFonts w:hint="eastAsia" w:ascii="宋体" w:hAnsi="宋体" w:eastAsia="宋体" w:cs="宋体"/>
      <w:color w:val="000000"/>
      <w:sz w:val="22"/>
      <w:szCs w:val="22"/>
      <w:u w:val="none"/>
    </w:rPr>
  </w:style>
  <w:style w:type="character" w:customStyle="1" w:styleId="16">
    <w:name w:val="font31"/>
    <w:basedOn w:val="11"/>
    <w:qFormat/>
    <w:uiPriority w:val="0"/>
    <w:rPr>
      <w:rFonts w:ascii="Calibri" w:hAnsi="Calibri" w:cs="Calibri"/>
      <w:color w:val="000000"/>
      <w:sz w:val="22"/>
      <w:szCs w:val="22"/>
      <w:u w:val="none"/>
    </w:rPr>
  </w:style>
  <w:style w:type="paragraph" w:customStyle="1" w:styleId="17">
    <w:name w:val="列出段落1"/>
    <w:qFormat/>
    <w:uiPriority w:val="34"/>
    <w:pPr>
      <w:widowControl w:val="0"/>
      <w:ind w:firstLine="420"/>
      <w:jc w:val="both"/>
    </w:pPr>
    <w:rPr>
      <w:rFonts w:ascii="Calibri" w:hAnsi="Calibri" w:eastAsia="Calibri" w:cs="Calibri"/>
      <w:color w:val="000000"/>
      <w:kern w:val="2"/>
      <w:sz w:val="21"/>
      <w:szCs w:val="21"/>
      <w:u w:color="000000"/>
      <w:lang w:val="en-US" w:eastAsia="zh-CN" w:bidi="ar-SA"/>
    </w:rPr>
  </w:style>
  <w:style w:type="table" w:customStyle="1" w:styleId="18">
    <w:name w:val="Table Normal"/>
    <w:qFormat/>
    <w:uiPriority w:val="0"/>
    <w:tblPr>
      <w:tblCellMar>
        <w:top w:w="0" w:type="dxa"/>
        <w:left w:w="0" w:type="dxa"/>
        <w:bottom w:w="0" w:type="dxa"/>
        <w:right w:w="0" w:type="dxa"/>
      </w:tblCellMar>
    </w:tblPr>
  </w:style>
  <w:style w:type="paragraph" w:styleId="19">
    <w:name w:val="List Paragraph"/>
    <w:basedOn w:val="1"/>
    <w:autoRedefine/>
    <w:qFormat/>
    <w:uiPriority w:val="34"/>
    <w:pPr>
      <w:ind w:firstLine="420" w:firstLineChars="200"/>
    </w:pPr>
  </w:style>
  <w:style w:type="paragraph" w:customStyle="1" w:styleId="20">
    <w:name w:val="无间距"/>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106</Words>
  <Characters>605</Characters>
  <Lines>5</Lines>
  <Paragraphs>1</Paragraphs>
  <TotalTime>1</TotalTime>
  <ScaleCrop>false</ScaleCrop>
  <LinksUpToDate>false</LinksUpToDate>
  <CharactersWithSpaces>710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2023-11-29T03:10:00Z</dcterms:created>
  <dc:creator>ChenXuan</dc:creator>
  <cp:lastModifiedBy>Faye</cp:lastModifiedBy>
  <dcterms:modified xsi:type="dcterms:W3CDTF">2024-08-08T15:51:57Z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0DCE4AE3873447509EF84B6CC2C3A146_13</vt:lpwstr>
  </property>
</Properties>
</file>